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bookmarkStart w:id="0" w:name="_GoBack"/>
      <w:bookmarkEnd w:id="0"/>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proofErr w:type="gramStart"/>
      <w:r w:rsidR="00983322" w:rsidRPr="00305D3E">
        <w:t>timely</w:t>
      </w:r>
      <w:proofErr w:type="gramEnd"/>
      <w:r w:rsidR="00983322" w:rsidRPr="00305D3E">
        <w:t xml:space="preserve">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DB32C4" w:rsidRDefault="00DB32C4" w:rsidP="004D02C7">
      <w:pPr>
        <w:pStyle w:val="ListParagraph"/>
        <w:spacing w:after="0" w:line="240" w:lineRule="auto"/>
        <w:jc w:val="both"/>
        <w:rPr>
          <w:rFonts w:ascii="Times New Roman" w:hAnsi="Times New Roman" w:cs="Times New Roman"/>
          <w:sz w:val="24"/>
          <w:szCs w:val="24"/>
        </w:rPr>
      </w:pPr>
    </w:p>
    <w:p w:rsidR="00DB32C4" w:rsidRPr="00DB32C4" w:rsidRDefault="00DB32C4" w:rsidP="00DB32C4">
      <w:pPr>
        <w:spacing w:after="0"/>
        <w:rPr>
          <w:rFonts w:ascii="Times New Roman" w:eastAsia="PMingLiU" w:hAnsi="Times New Roman"/>
          <w:sz w:val="24"/>
          <w:szCs w:val="24"/>
          <w:lang w:eastAsia="zh-TW"/>
        </w:rPr>
      </w:pPr>
      <w:r w:rsidRPr="00DB32C4">
        <w:rPr>
          <w:rFonts w:ascii="Times New Roman" w:hAnsi="Times New Roman"/>
          <w:b/>
          <w:bCs/>
          <w:sz w:val="24"/>
          <w:szCs w:val="24"/>
        </w:rPr>
        <w:t>15.</w:t>
      </w:r>
      <w:r w:rsidRPr="00DB32C4">
        <w:rPr>
          <w:rFonts w:ascii="Times New Roman" w:hAnsi="Times New Roman"/>
          <w:b/>
          <w:bCs/>
          <w:sz w:val="24"/>
          <w:szCs w:val="24"/>
        </w:rPr>
        <w:tab/>
      </w:r>
      <w:r w:rsidRPr="00DB32C4">
        <w:rPr>
          <w:rFonts w:ascii="Times New Roman" w:hAnsi="Times New Roman"/>
          <w:b/>
          <w:sz w:val="24"/>
          <w:szCs w:val="24"/>
        </w:rPr>
        <w:t xml:space="preserve">Insurance Requirements for Contractors:  </w:t>
      </w:r>
    </w:p>
    <w:p w:rsidR="00DB32C4" w:rsidRPr="00DB32C4" w:rsidRDefault="00DB32C4" w:rsidP="00DB32C4">
      <w:pPr>
        <w:spacing w:after="0"/>
        <w:ind w:left="720"/>
        <w:rPr>
          <w:rFonts w:ascii="Times New Roman" w:eastAsia="PMingLiU" w:hAnsi="Times New Roman"/>
          <w:sz w:val="24"/>
          <w:szCs w:val="24"/>
          <w:lang w:eastAsia="zh-TW"/>
        </w:rPr>
      </w:pPr>
      <w:r w:rsidRPr="00DB32C4">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DB32C4" w:rsidRPr="00DB32C4" w:rsidRDefault="00DB32C4" w:rsidP="00DB32C4">
      <w:pPr>
        <w:spacing w:after="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A.</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Minimum Scope and Limits of Insurance</w:t>
      </w: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u w:val="single"/>
          <w:lang w:eastAsia="zh-TW"/>
        </w:rPr>
      </w:pPr>
      <w:r w:rsidRPr="00DB32C4">
        <w:rPr>
          <w:rFonts w:ascii="Times New Roman" w:eastAsia="PMingLiU" w:hAnsi="Times New Roman"/>
          <w:sz w:val="24"/>
          <w:szCs w:val="24"/>
          <w:u w:val="single"/>
          <w:lang w:eastAsia="zh-TW"/>
        </w:rPr>
        <w:t>Workers Compensation</w:t>
      </w:r>
    </w:p>
    <w:p w:rsidR="00DB32C4" w:rsidRPr="00DB32C4" w:rsidRDefault="00DB32C4" w:rsidP="00DB32C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DB32C4" w:rsidRPr="00DB32C4" w:rsidRDefault="00DB32C4" w:rsidP="00DB32C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DB32C4">
        <w:rPr>
          <w:rFonts w:ascii="Times New Roman" w:eastAsia="PMingLiU" w:hAnsi="Times New Roman"/>
          <w:sz w:val="24"/>
          <w:szCs w:val="24"/>
          <w:u w:val="single"/>
          <w:lang w:eastAsia="zh-TW"/>
        </w:rPr>
        <w:t>Commercial General Liability</w:t>
      </w:r>
    </w:p>
    <w:p w:rsidR="00DB32C4" w:rsidRPr="00DB32C4" w:rsidRDefault="00DB32C4" w:rsidP="00DB32C4">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Commercial General Liability insurance, including Personal and Advertising Injury Liability and Products and Completed Operations, shall have a minimum limit per </w:t>
      </w:r>
      <w:r w:rsidRPr="00DB32C4">
        <w:rPr>
          <w:rFonts w:ascii="Times New Roman" w:eastAsia="PMingLiU" w:hAnsi="Times New Roman"/>
          <w:sz w:val="24"/>
          <w:szCs w:val="24"/>
          <w:lang w:eastAsia="zh-TW"/>
        </w:rPr>
        <w:lastRenderedPageBreak/>
        <w:t>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DB32C4" w:rsidRPr="00DB32C4" w:rsidRDefault="00DB32C4" w:rsidP="00DB32C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DB32C4">
        <w:rPr>
          <w:rFonts w:ascii="Times New Roman" w:eastAsia="PMingLiU" w:hAnsi="Times New Roman"/>
          <w:sz w:val="24"/>
          <w:szCs w:val="24"/>
          <w:u w:val="single"/>
          <w:lang w:eastAsia="zh-TW"/>
        </w:rPr>
        <w:t>Automobile Liability</w:t>
      </w:r>
    </w:p>
    <w:p w:rsidR="00DB32C4" w:rsidRPr="00DB32C4" w:rsidRDefault="00DB32C4" w:rsidP="00DB32C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B32C4">
        <w:rPr>
          <w:rFonts w:ascii="Times New Roman" w:eastAsia="PMingLiU" w:hAnsi="Times New Roman"/>
          <w:sz w:val="24"/>
          <w:szCs w:val="24"/>
          <w:lang w:eastAsia="zh-TW"/>
        </w:rPr>
        <w:noBreakHyphen/>
        <w:t>owned automobiles.</w:t>
      </w: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B.</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Deductibles and Self</w:t>
      </w:r>
      <w:r w:rsidRPr="00DB32C4">
        <w:rPr>
          <w:rFonts w:ascii="Times New Roman" w:eastAsia="PMingLiU" w:hAnsi="Times New Roman"/>
          <w:sz w:val="24"/>
          <w:szCs w:val="24"/>
          <w:u w:val="single"/>
          <w:lang w:eastAsia="zh-TW"/>
        </w:rPr>
        <w:noBreakHyphen/>
        <w:t>Insured Retentions</w:t>
      </w: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C.</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Other Insurance Provisions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The policies are to contain, or be endorsed to contain, the following provisions: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Commercial General Liability, Automobile Liability, and Cyber Liability Coverages</w:t>
      </w:r>
    </w:p>
    <w:p w:rsidR="00DB32C4" w:rsidRPr="00DB32C4" w:rsidRDefault="00DB32C4" w:rsidP="00DB32C4">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DB32C4" w:rsidRPr="00DB32C4" w:rsidRDefault="00DB32C4" w:rsidP="00DB32C4">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DB32C4" w:rsidRPr="00DB32C4" w:rsidRDefault="00DB32C4" w:rsidP="00DB32C4">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Workers Compensation and Employers Liability Coverage</w:t>
      </w:r>
    </w:p>
    <w:p w:rsidR="00DB32C4" w:rsidRPr="00DB32C4" w:rsidRDefault="00DB32C4" w:rsidP="00DB32C4">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All Coverages</w:t>
      </w:r>
    </w:p>
    <w:p w:rsidR="00DB32C4" w:rsidRPr="00DB32C4" w:rsidRDefault="00DB32C4" w:rsidP="00DB32C4">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w:t>
      </w:r>
      <w:r w:rsidRPr="00DB32C4">
        <w:rPr>
          <w:rFonts w:ascii="Times New Roman" w:eastAsia="PMingLiU" w:hAnsi="Times New Roman" w:cs="Times New Roman"/>
          <w:sz w:val="24"/>
          <w:szCs w:val="24"/>
          <w:lang w:eastAsia="zh-TW"/>
        </w:rPr>
        <w:lastRenderedPageBreak/>
        <w:t>Notifications shall comply with the standard cancellation provisions in the Contractor’s policy.  In addition, Contractor is required to notify agency of policy cancellations or reductions in limits.</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  </w:t>
      </w: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D.</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Acceptability of Insurers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B32C4">
        <w:rPr>
          <w:rFonts w:ascii="Times New Roman" w:eastAsia="PMingLiU" w:hAnsi="Times New Roman"/>
          <w:b/>
          <w:sz w:val="24"/>
          <w:szCs w:val="24"/>
          <w:lang w:eastAsia="zh-TW"/>
        </w:rPr>
        <w:t>A-</w:t>
      </w:r>
      <w:proofErr w:type="gramStart"/>
      <w:r w:rsidRPr="00DB32C4">
        <w:rPr>
          <w:rFonts w:ascii="Times New Roman" w:eastAsia="PMingLiU" w:hAnsi="Times New Roman"/>
          <w:b/>
          <w:sz w:val="24"/>
          <w:szCs w:val="24"/>
          <w:lang w:eastAsia="zh-TW"/>
        </w:rPr>
        <w:t>:VI</w:t>
      </w:r>
      <w:proofErr w:type="gramEnd"/>
      <w:r w:rsidRPr="00DB32C4">
        <w:rPr>
          <w:rFonts w:ascii="Times New Roman" w:eastAsia="PMingLiU" w:hAnsi="Times New Roman"/>
          <w:b/>
          <w:sz w:val="24"/>
          <w:szCs w:val="24"/>
          <w:lang w:eastAsia="zh-TW"/>
        </w:rPr>
        <w:t xml:space="preserve"> or higher</w:t>
      </w:r>
      <w:r w:rsidRPr="00DB32C4">
        <w:rPr>
          <w:rFonts w:ascii="Times New Roman" w:eastAsia="PMingLiU" w:hAnsi="Times New Roman"/>
          <w:sz w:val="24"/>
          <w:szCs w:val="24"/>
          <w:lang w:eastAsia="zh-TW"/>
        </w:rPr>
        <w:t xml:space="preserve">.  This rating requirement may be waived for workers’ compensation coverage only.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E.</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Verification of Coverage</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The Certificate Holder should be listed as follows: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State of Louisiana</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Office of State Procurement</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1201 N. Third St. Suite 2-160</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Baton Rouge, LA 70802</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lastRenderedPageBreak/>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F.</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Subcontractors</w:t>
      </w:r>
    </w:p>
    <w:p w:rsidR="00DB32C4" w:rsidRPr="00DB32C4" w:rsidRDefault="00DB32C4" w:rsidP="00DB32C4">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G.</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Workers Compensation Indemnity</w:t>
      </w: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DB32C4">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DB32C4" w:rsidRPr="00DB32C4" w:rsidRDefault="00DB32C4" w:rsidP="00DB32C4">
      <w:pPr>
        <w:tabs>
          <w:tab w:val="left" w:pos="360"/>
        </w:tabs>
        <w:spacing w:after="0"/>
        <w:rPr>
          <w:rFonts w:ascii="Times New Roman" w:eastAsia="PMingLiU" w:hAnsi="Times New Roman"/>
          <w:sz w:val="24"/>
          <w:szCs w:val="24"/>
          <w:lang w:eastAsia="zh-TW"/>
        </w:rPr>
      </w:pPr>
    </w:p>
    <w:p w:rsidR="00DB32C4" w:rsidRPr="00DB32C4" w:rsidRDefault="00DB32C4" w:rsidP="00DB32C4">
      <w:pPr>
        <w:tabs>
          <w:tab w:val="left" w:pos="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H.</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Indemnification/Hold Harmless Agreement</w:t>
      </w:r>
    </w:p>
    <w:p w:rsidR="00DB32C4" w:rsidRPr="00DB32C4" w:rsidRDefault="00DB32C4" w:rsidP="00DB32C4">
      <w:pPr>
        <w:tabs>
          <w:tab w:val="left" w:pos="360"/>
        </w:tabs>
        <w:spacing w:after="0"/>
        <w:rPr>
          <w:rFonts w:ascii="Times New Roman" w:eastAsia="PMingLiU" w:hAnsi="Times New Roman"/>
          <w:sz w:val="24"/>
          <w:szCs w:val="24"/>
          <w:lang w:eastAsia="zh-TW"/>
        </w:rPr>
      </w:pPr>
    </w:p>
    <w:p w:rsidR="00DB32C4" w:rsidRPr="00DB32C4" w:rsidRDefault="00DB32C4" w:rsidP="00DB32C4">
      <w:pPr>
        <w:numPr>
          <w:ilvl w:val="0"/>
          <w:numId w:val="24"/>
        </w:numPr>
        <w:tabs>
          <w:tab w:val="left" w:pos="-720"/>
          <w:tab w:val="left" w:pos="39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DB32C4" w:rsidRPr="00DB32C4" w:rsidRDefault="00DB32C4" w:rsidP="00DB32C4">
      <w:pPr>
        <w:tabs>
          <w:tab w:val="left" w:pos="-720"/>
        </w:tabs>
        <w:spacing w:after="0"/>
        <w:ind w:left="360"/>
        <w:rPr>
          <w:rFonts w:ascii="Times New Roman" w:eastAsia="PMingLiU" w:hAnsi="Times New Roman"/>
          <w:sz w:val="24"/>
          <w:szCs w:val="24"/>
          <w:lang w:eastAsia="zh-TW"/>
        </w:rPr>
      </w:pPr>
    </w:p>
    <w:p w:rsidR="00DB32C4" w:rsidRPr="00DB32C4" w:rsidRDefault="00DB32C4" w:rsidP="00DB32C4">
      <w:pPr>
        <w:numPr>
          <w:ilvl w:val="0"/>
          <w:numId w:val="24"/>
        </w:numPr>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DB32C4">
        <w:rPr>
          <w:rFonts w:ascii="Times New Roman" w:eastAsia="PMingLiU" w:hAnsi="Times New Roman"/>
          <w:sz w:val="24"/>
          <w:szCs w:val="24"/>
          <w:lang w:eastAsia="zh-TW"/>
        </w:rPr>
        <w:lastRenderedPageBreak/>
        <w:t>with the Contractor in the defense of claims, but this shall not affect the Contractor’s responsibility for the handling of and expenses for all claims.</w:t>
      </w:r>
    </w:p>
    <w:p w:rsidR="00DB32C4" w:rsidRDefault="00DB32C4" w:rsidP="004D02C7">
      <w:pPr>
        <w:pStyle w:val="ListParagraph"/>
        <w:spacing w:after="0" w:line="240" w:lineRule="auto"/>
        <w:jc w:val="both"/>
        <w:rPr>
          <w:rFonts w:ascii="Times New Roman" w:hAnsi="Times New Roman" w:cs="Times New Roman"/>
          <w:sz w:val="24"/>
          <w:szCs w:val="24"/>
        </w:rPr>
      </w:pPr>
    </w:p>
    <w:p w:rsidR="007F5816" w:rsidRDefault="007F5816" w:rsidP="004D02C7">
      <w:pPr>
        <w:spacing w:after="0" w:line="240" w:lineRule="auto"/>
        <w:ind w:left="720"/>
        <w:contextualSpacing/>
        <w:jc w:val="both"/>
        <w:rPr>
          <w:rFonts w:ascii="Times New Roman" w:hAnsi="Times New Roman" w:cs="Times New Roman"/>
          <w:sz w:val="24"/>
          <w:szCs w:val="24"/>
        </w:rPr>
      </w:pPr>
    </w:p>
    <w:p w:rsidR="007F5816" w:rsidRPr="007F5816" w:rsidRDefault="00305D3E" w:rsidP="007F5816">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sidR="00DB32C4">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7F5816" w:rsidRPr="007F5816">
        <w:rPr>
          <w:rFonts w:ascii="Times New Roman" w:hAnsi="Times New Roman"/>
          <w:b/>
          <w:sz w:val="24"/>
          <w:szCs w:val="24"/>
        </w:rPr>
        <w:t>End of FY Delivery:</w:t>
      </w:r>
    </w:p>
    <w:p w:rsidR="007F5816" w:rsidRPr="007F5816" w:rsidRDefault="007F5816" w:rsidP="007F5816">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F5816" w:rsidRPr="0035113D" w:rsidRDefault="005963E1"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DB32C4">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CA73D6" w:rsidRPr="00305D3E">
        <w:rPr>
          <w:rFonts w:ascii="Times New Roman" w:eastAsia="Times New Roman" w:hAnsi="Times New Roman" w:cs="Times New Roman"/>
          <w:spacing w:val="5"/>
          <w:position w:val="-1"/>
          <w:sz w:val="24"/>
          <w:szCs w:val="24"/>
        </w:rPr>
        <w:t xml:space="preserve"> </w:t>
      </w:r>
      <w:r w:rsidR="007F5816" w:rsidRPr="0035113D">
        <w:rPr>
          <w:rFonts w:ascii="Times New Roman" w:eastAsia="Times New Roman" w:hAnsi="Times New Roman" w:cs="Times New Roman"/>
          <w:b/>
          <w:sz w:val="24"/>
          <w:szCs w:val="24"/>
        </w:rPr>
        <w:t>Method of Award:</w:t>
      </w:r>
    </w:p>
    <w:p w:rsidR="007F5816" w:rsidRPr="00305D3E"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7F5816" w:rsidP="007F5816">
      <w:pPr>
        <w:spacing w:after="0" w:line="240" w:lineRule="auto"/>
        <w:jc w:val="both"/>
        <w:rPr>
          <w:rFonts w:ascii="Times New Roman" w:hAnsi="Times New Roman" w:cs="Times New Roman"/>
          <w:b/>
          <w:bCs/>
          <w:sz w:val="24"/>
          <w:szCs w:val="24"/>
        </w:rPr>
      </w:pPr>
      <w:r w:rsidRPr="007F5816">
        <w:rPr>
          <w:rFonts w:ascii="Times New Roman" w:eastAsia="Times New Roman" w:hAnsi="Times New Roman" w:cs="Times New Roman"/>
          <w:b/>
          <w:spacing w:val="5"/>
          <w:position w:val="-1"/>
          <w:sz w:val="24"/>
          <w:szCs w:val="24"/>
        </w:rPr>
        <w:t>1</w:t>
      </w:r>
      <w:r w:rsidR="00DB32C4">
        <w:rPr>
          <w:rFonts w:ascii="Times New Roman" w:eastAsia="Times New Roman" w:hAnsi="Times New Roman" w:cs="Times New Roman"/>
          <w:b/>
          <w:spacing w:val="5"/>
          <w:position w:val="-1"/>
          <w:sz w:val="24"/>
          <w:szCs w:val="24"/>
        </w:rPr>
        <w:t>8</w:t>
      </w:r>
      <w:r w:rsidRPr="007F5816">
        <w:rPr>
          <w:rFonts w:ascii="Times New Roman" w:eastAsia="Times New Roman" w:hAnsi="Times New Roman" w:cs="Times New Roman"/>
          <w:b/>
          <w:spacing w:val="5"/>
          <w:position w:val="-1"/>
          <w:sz w:val="24"/>
          <w:szCs w:val="24"/>
        </w:rPr>
        <w:t>.</w:t>
      </w:r>
      <w:r>
        <w:rPr>
          <w:rFonts w:ascii="Times New Roman" w:eastAsia="Times New Roman" w:hAnsi="Times New Roman" w:cs="Times New Roman"/>
          <w:b/>
          <w:spacing w:val="5"/>
          <w:position w:val="-1"/>
          <w:sz w:val="24"/>
          <w:szCs w:val="24"/>
        </w:rPr>
        <w:tab/>
      </w:r>
      <w:r w:rsidRPr="00305D3E">
        <w:rPr>
          <w:rFonts w:ascii="Times New Roman" w:eastAsia="Times New Roman" w:hAnsi="Times New Roman" w:cs="Times New Roman"/>
          <w:b/>
          <w:bCs/>
          <w:spacing w:val="1"/>
          <w:sz w:val="24"/>
          <w:szCs w:val="24"/>
        </w:rPr>
        <w:t>Sufficient Information</w:t>
      </w:r>
      <w:r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10D9F">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10D9F">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B10D9F"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Pr>
        <w:rFonts w:ascii="Times New Roman" w:hAnsi="Times New Roman" w:cs="Times New Roman"/>
        <w:sz w:val="24"/>
        <w:szCs w:val="24"/>
      </w:rPr>
      <w:t xml:space="preserve">22733 </w:t>
    </w:r>
    <w:r w:rsidR="00C53AC0"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Pr>
        <w:rFonts w:ascii="Times New Roman" w:hAnsi="Times New Roman" w:cs="Times New Roman"/>
        <w:sz w:val="24"/>
        <w:szCs w:val="24"/>
      </w:rPr>
      <w:t>X-Ray Spectrometer</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Pr>
        <w:rFonts w:ascii="Times New Roman" w:hAnsi="Times New Roman" w:cs="Times New Roman"/>
        <w:sz w:val="24"/>
        <w:szCs w:val="24"/>
      </w:rPr>
      <w:t>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0D9F"/>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32C4"/>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B416A1"/>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E8F2-EB21-488D-B33E-9F9838FA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48</TotalTime>
  <Pages>10</Pages>
  <Words>3601</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3</cp:revision>
  <cp:lastPrinted>2022-05-19T21:13:00Z</cp:lastPrinted>
  <dcterms:created xsi:type="dcterms:W3CDTF">2024-03-27T14:49:00Z</dcterms:created>
  <dcterms:modified xsi:type="dcterms:W3CDTF">2024-03-27T15:41:00Z</dcterms:modified>
</cp:coreProperties>
</file>