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bookmarkStart w:id="0" w:name="_GoBack"/>
      <w:bookmarkEnd w:id="0"/>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1F2B41"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1F2B41"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1F2B41"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41" w:rsidRDefault="001F2B41" w:rsidP="00D86773">
      <w:r>
        <w:separator/>
      </w:r>
    </w:p>
  </w:endnote>
  <w:endnote w:type="continuationSeparator" w:id="0">
    <w:p w:rsidR="001F2B41" w:rsidRDefault="001F2B41"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F76366">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F76366">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41" w:rsidRDefault="001F2B41" w:rsidP="00D86773">
      <w:r>
        <w:separator/>
      </w:r>
    </w:p>
  </w:footnote>
  <w:footnote w:type="continuationSeparator" w:id="0">
    <w:p w:rsidR="001F2B41" w:rsidRDefault="001F2B41"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F76366">
      <w:rPr>
        <w:rFonts w:ascii="Times New Roman" w:hAnsi="Times New Roman" w:cs="Times New Roman"/>
        <w:b/>
        <w:iCs/>
        <w:sz w:val="24"/>
        <w:szCs w:val="24"/>
      </w:rPr>
      <w:t>2494</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F76366">
      <w:rPr>
        <w:rFonts w:ascii="Times New Roman" w:hAnsi="Times New Roman" w:cs="Times New Roman"/>
        <w:b/>
        <w:iCs/>
        <w:sz w:val="24"/>
        <w:szCs w:val="24"/>
      </w:rPr>
      <w:t>Combo Sewer Jet/Vacuum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2F0E"/>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1E1E"/>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38C4-41A4-4AFB-A3F8-D82BF7B3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2024-01-29T20:50:00Z</dcterms:created>
  <dcterms:modified xsi:type="dcterms:W3CDTF">2024-01-29T20:50:00Z</dcterms:modified>
</cp:coreProperties>
</file>